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Aptos" w:hAnsi="Aptos"/>
          <w:b/>
          <w:color w:val="2A9D8F"/>
          <w:sz w:val="17"/>
        </w:rPr>
        <w:t>LEARNING WALKS  /  EDITABLE RESOURCE</w:t>
      </w:r>
    </w:p>
    <w:p>
      <w:pPr>
        <w:pStyle w:val="Title"/>
        <w:spacing w:after="60"/>
      </w:pPr>
      <w:r>
        <w:t>Learning Walk Template</w:t>
      </w:r>
    </w:p>
    <w:p>
      <w:pPr>
        <w:spacing w:after="200"/>
      </w:pPr>
      <w:r>
        <w:rPr>
          <w:color w:val="53666F"/>
          <w:sz w:val="22"/>
        </w:rPr>
        <w:t>Plan with purpose. Record neutral evidence. Look for patterns across visits.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DF7F5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rFonts w:ascii="Aptos Display" w:hAnsi="Aptos Display"/>
                <w:b/>
                <w:color w:val="2A9D8F"/>
                <w:sz w:val="20"/>
              </w:rPr>
              <w:t>Use this as a working form, not a grading sheet</w:t>
            </w:r>
          </w:p>
          <w:p>
            <w:pPr>
              <w:spacing w:after="0"/>
            </w:pPr>
            <w:r>
              <w:rPr>
                <w:rFonts w:ascii="Aptos" w:hAnsi="Aptos"/>
                <w:color w:val="24333B"/>
                <w:sz w:val="19"/>
              </w:rPr>
              <w:t>Agree the purpose and prompts before the walk. Record what was seen and heard, avoid isolated judgements, then synthesise evidence across visits before deciding next steps.</w:t>
            </w:r>
          </w:p>
        </w:tc>
      </w:tr>
    </w:tbl>
    <w:p>
      <w:pPr>
        <w:pStyle w:val="Heading1"/>
        <w:keepNext/>
      </w:pPr>
      <w:r>
        <w:t>1. Agree the purpose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BD8DB"/>
          <w:left w:val="single" w:sz="6" w:color="CBD8DB"/>
          <w:bottom w:val="single" w:sz="6" w:color="CBD8DB"/>
          <w:right w:val="single" w:sz="6" w:color="CBD8DB"/>
          <w:insideH w:val="single" w:sz="6" w:color="CBD8DB"/>
          <w:insideV w:val="single" w:sz="6" w:color="CBD8DB"/>
        </w:tblBorders>
      </w:tblPr>
      <w:tblGrid>
        <w:gridCol w:w="2381"/>
        <w:gridCol w:w="6803"/>
      </w:tblGrid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School / setting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Date and time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Observer(s)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Classes / areas visited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Learning question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What are we trying to understand?</w:t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Focus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Choose one or two clearly defined themes.</w:t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How staff were briefed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Purpose, timing, use of evidence and feedback route.</w:t>
            </w:r>
          </w:p>
        </w:tc>
      </w:tr>
    </w:tbl>
    <w:p>
      <w:pPr>
        <w:pStyle w:val="Heading2"/>
        <w:keepNext/>
      </w:pPr>
      <w:r>
        <w:t>Prompts chosen for this walk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CBD8DB"/>
          <w:left w:val="single" w:sz="6" w:color="CBD8DB"/>
          <w:bottom w:val="single" w:sz="6" w:color="CBD8DB"/>
          <w:right w:val="single" w:sz="6" w:color="CBD8DB"/>
          <w:insideH w:val="single" w:sz="6" w:color="CBD8DB"/>
          <w:insideV w:val="single" w:sz="6" w:color="CBD8DB"/>
        </w:tblBorders>
      </w:tblPr>
      <w:tblGrid>
        <w:gridCol w:w="5128"/>
        <w:gridCol w:w="5128"/>
      </w:tblGrid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☐  Pupil experience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What are pupils doing, saying and thinking?</w:t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☐  Curriculum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How is the intended curriculum showing up in practice?</w:t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☐  Teaching and routines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What approaches or routines are visible across visits?</w:t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☐  Access and inclusion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How are pupils helped to participate and succeed?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2. Capture neutral evidence</w:t>
      </w:r>
    </w:p>
    <w:p>
      <w:r>
        <w:rPr>
          <w:color w:val="53666F"/>
        </w:rPr>
        <w:t>Use a separate row for each short visit. Capture observable detail rather than a score or judgement.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BD8DB"/>
          <w:left w:val="single" w:sz="6" w:color="CBD8DB"/>
          <w:bottom w:val="single" w:sz="6" w:color="CBD8DB"/>
          <w:right w:val="single" w:sz="6" w:color="CBD8DB"/>
          <w:insideH w:val="single" w:sz="6" w:color="CBD8DB"/>
          <w:insideV w:val="single" w:sz="6" w:color="CBD8DB"/>
        </w:tblBorders>
      </w:tblPr>
      <w:tblGrid>
        <w:gridCol w:w="1191"/>
        <w:gridCol w:w="1757"/>
        <w:gridCol w:w="4082"/>
        <w:gridCol w:w="2098"/>
      </w:tblGrid>
      <w:tr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Time</w:t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Class / context</w:t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What was seen or heard</w:t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264653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Question / link to focus</w:t>
            </w:r>
          </w:p>
        </w:tc>
      </w:tr>
      <w:tr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  <w:tc>
          <w:tcPr>
            <w:tcW w:type="dxa" w:w="256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</w:tbl>
    <w:p>
      <w:pPr>
        <w:pStyle w:val="Heading2"/>
        <w:keepNext/>
      </w:pPr>
      <w:r>
        <w:t>Useful neutral sentence starters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CBD8DB"/>
          <w:left w:val="single" w:sz="6" w:color="CBD8DB"/>
          <w:bottom w:val="single" w:sz="6" w:color="CBD8DB"/>
          <w:right w:val="single" w:sz="6" w:color="CBD8DB"/>
          <w:insideH w:val="single" w:sz="6" w:color="CBD8DB"/>
          <w:insideV w:val="single" w:sz="6" w:color="CBD8DB"/>
        </w:tblBorders>
      </w:tblPr>
      <w:tblGrid>
        <w:gridCol w:w="5128"/>
        <w:gridCol w:w="5128"/>
      </w:tblGrid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•  Pupils were…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•  The teacher modelled…</w:t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•  Across the group, we noticed…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7FAFA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•  Resources or prompts supported…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3. Synthesis after the walk</w:t>
      </w:r>
    </w:p>
    <w:p>
      <w:r>
        <w:rPr>
          <w:color w:val="53666F"/>
        </w:rPr>
        <w:t>Complete this section after comparing evidence across the visits. A single snapshot is a prompt to enquire, not a conclusion.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BD8DB"/>
          <w:left w:val="single" w:sz="6" w:color="CBD8DB"/>
          <w:bottom w:val="single" w:sz="6" w:color="CBD8DB"/>
          <w:right w:val="single" w:sz="6" w:color="CBD8DB"/>
          <w:insideH w:val="single" w:sz="6" w:color="CBD8DB"/>
          <w:insideV w:val="single" w:sz="6" w:color="CBD8DB"/>
        </w:tblBorders>
      </w:tblPr>
      <w:tblGrid>
        <w:gridCol w:w="2551"/>
        <w:gridCol w:w="6633"/>
      </w:tblGrid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Strengths worth sharing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Patterns across visits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Questions to explore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Evidence needed next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Proportionate next step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24333B"/>
                <w:sz w:val="19"/>
              </w:rPr>
            </w:r>
          </w:p>
        </w:tc>
      </w:tr>
    </w:tbl>
    <w:p>
      <w:pPr>
        <w:pStyle w:val="Heading2"/>
        <w:keepNext/>
      </w:pPr>
      <w:r>
        <w:t>Feedback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BD8DB"/>
          <w:left w:val="single" w:sz="6" w:color="CBD8DB"/>
          <w:bottom w:val="single" w:sz="6" w:color="CBD8DB"/>
          <w:right w:val="single" w:sz="6" w:color="CBD8DB"/>
          <w:insideH w:val="single" w:sz="6" w:color="CBD8DB"/>
          <w:insideV w:val="single" w:sz="6" w:color="CBD8DB"/>
        </w:tblBorders>
      </w:tblPr>
      <w:tblGrid>
        <w:gridCol w:w="2381"/>
        <w:gridCol w:w="6803"/>
      </w:tblGrid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Audience and timing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Who needs to hear what, and when?</w:t>
            </w:r>
          </w:p>
        </w:tc>
      </w:tr>
      <w:tr>
        <w:trPr>
          <w:trHeight w:val="822"/>
        </w:trP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Whole-school message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Purpose → strengths → patterns → questions → next step.</w:t>
            </w:r>
          </w:p>
        </w:tc>
      </w:tr>
      <w:tr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DF7F5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264653"/>
                <w:sz w:val="19"/>
              </w:rPr>
              <w:t>Review point</w:t>
            </w:r>
          </w:p>
        </w:tc>
        <w:tc>
          <w:tcPr>
            <w:tcW w:type="dxa" w:w="512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color w:val="53666F"/>
                <w:sz w:val="19"/>
              </w:rPr>
              <w:t>When will we check whether the next step helped?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DF7F5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80"/>
            </w:pPr>
            <w:r>
              <w:rPr>
                <w:rFonts w:ascii="Aptos Display" w:hAnsi="Aptos Display"/>
                <w:b/>
                <w:color w:val="2A9D8F"/>
                <w:sz w:val="20"/>
              </w:rPr>
              <w:t>Adapt the prompts—not the principle</w:t>
            </w:r>
          </w:p>
          <w:p>
            <w:pPr>
              <w:spacing w:after="0"/>
            </w:pPr>
            <w:r>
              <w:rPr>
                <w:rFonts w:ascii="Aptos" w:hAnsi="Aptos"/>
                <w:color w:val="24333B"/>
                <w:sz w:val="19"/>
              </w:rPr>
              <w:t>Primary, secondary, special and alternative settings will need different language and examples. Keep the purpose transparent, the evidence neutral and the conclusions proportionate in every context.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79" w:right="992" w:bottom="822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  <w:jc w:val="center"/>
    </w:pPr>
    <w:r>
      <w:rPr>
        <w:rFonts w:ascii="Aptos" w:hAnsi="Aptos"/>
        <w:color w:val="53666F"/>
        <w:sz w:val="16"/>
      </w:rPr>
      <w:t>Learning Walks  |  learningwalks.com/advice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4333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646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A9D8F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ptos Display" w:hAnsi="Aptos Display"/>
      <w:b/>
      <w:color w:val="26465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Walk Template</dc:title>
  <dc:subject>Editable learning walk planning, evidence and synthesis form</dc:subject>
  <dc:creator>Learning Walks</dc:creator>
  <cp:keywords>learning walk template, learning walk form, school improvement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